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CDA00" w14:textId="7CC8F7DC" w:rsidR="001929F2" w:rsidRDefault="00EF152F" w:rsidP="001929F2">
      <w:r>
        <w:t>The Water Resources Division is responsible for ensuring compliance with the Water Act 1992 (</w:t>
      </w:r>
      <w:r w:rsidRPr="000F0750">
        <w:t>the Act</w:t>
      </w:r>
      <w:r>
        <w:t xml:space="preserve">), Water Regulations 1992 and </w:t>
      </w:r>
      <w:r w:rsidRPr="001929F2">
        <w:t>licences</w:t>
      </w:r>
      <w:r>
        <w:t xml:space="preserve"> and permits issued </w:t>
      </w:r>
      <w:r w:rsidR="00A66B13">
        <w:t>under</w:t>
      </w:r>
      <w:r>
        <w:t xml:space="preserve"> the Act.</w:t>
      </w:r>
    </w:p>
    <w:p w14:paraId="5A3897D2" w14:textId="210D1BF6" w:rsidR="00A66B13" w:rsidRPr="00962810" w:rsidRDefault="00EF152F" w:rsidP="00962810">
      <w:pPr>
        <w:pStyle w:val="Heading1"/>
      </w:pPr>
      <w:r w:rsidRPr="00962810">
        <w:t xml:space="preserve">Current </w:t>
      </w:r>
      <w:r w:rsidR="00962810" w:rsidRPr="00962810">
        <w:t>p</w:t>
      </w:r>
      <w:r w:rsidRPr="00962810">
        <w:t>riorities</w:t>
      </w:r>
    </w:p>
    <w:p w14:paraId="39AD9083" w14:textId="3C245E0B" w:rsidR="00EF152F" w:rsidRPr="00EF152F" w:rsidRDefault="00EF152F" w:rsidP="00A66B13">
      <w:r>
        <w:t xml:space="preserve">Each year, Water Resources Division </w:t>
      </w:r>
      <w:r w:rsidR="000F0750">
        <w:t xml:space="preserve">will </w:t>
      </w:r>
      <w:r w:rsidR="00F456C0">
        <w:t>establish</w:t>
      </w:r>
      <w:r>
        <w:t xml:space="preserve"> its compliance and enforcement priorities. </w:t>
      </w:r>
      <w:r w:rsidR="000F0750">
        <w:t>P</w:t>
      </w:r>
      <w:r>
        <w:t xml:space="preserve">riorities </w:t>
      </w:r>
      <w:r w:rsidR="000F0750">
        <w:t xml:space="preserve">for the 2020 water accounting year </w:t>
      </w:r>
      <w:r>
        <w:t>are listed below.</w:t>
      </w:r>
    </w:p>
    <w:p w14:paraId="1C70FF51" w14:textId="77777777" w:rsidR="001929F2" w:rsidRPr="00962810" w:rsidRDefault="00EF152F" w:rsidP="00962810">
      <w:pPr>
        <w:pStyle w:val="Heading2"/>
      </w:pPr>
      <w:r w:rsidRPr="00962810">
        <w:t>Failure to comply with reporting requirements</w:t>
      </w:r>
    </w:p>
    <w:p w14:paraId="23CAD7C2" w14:textId="086B6E3E" w:rsidR="00EF152F" w:rsidRPr="006876FA" w:rsidRDefault="00EF152F" w:rsidP="001929F2">
      <w:r>
        <w:t xml:space="preserve">Water extraction </w:t>
      </w:r>
      <w:r w:rsidRPr="006876FA">
        <w:t xml:space="preserve">licence holders </w:t>
      </w:r>
      <w:r>
        <w:t xml:space="preserve">are required to report their monthly meter readings. This information is critical to </w:t>
      </w:r>
      <w:r w:rsidRPr="006876FA">
        <w:t>monitor</w:t>
      </w:r>
      <w:r>
        <w:t>ing</w:t>
      </w:r>
      <w:r w:rsidRPr="006876FA">
        <w:t xml:space="preserve"> compliance </w:t>
      </w:r>
      <w:r>
        <w:t xml:space="preserve">with the Act, determining water availability </w:t>
      </w:r>
      <w:r w:rsidRPr="006876FA">
        <w:t>and understand</w:t>
      </w:r>
      <w:r>
        <w:t>ing</w:t>
      </w:r>
      <w:r w:rsidRPr="006876FA">
        <w:t xml:space="preserve"> the impact of extraction </w:t>
      </w:r>
      <w:r>
        <w:t xml:space="preserve">on </w:t>
      </w:r>
      <w:r w:rsidRPr="006876FA">
        <w:t xml:space="preserve">water resources. Improving the consistency of compliance </w:t>
      </w:r>
      <w:r>
        <w:t>with reporting requirements</w:t>
      </w:r>
      <w:r w:rsidRPr="006876FA">
        <w:t xml:space="preserve"> is </w:t>
      </w:r>
      <w:r>
        <w:t xml:space="preserve">therefore </w:t>
      </w:r>
      <w:r w:rsidRPr="006876FA">
        <w:t xml:space="preserve">a high priority </w:t>
      </w:r>
      <w:r>
        <w:t>for the Water Resources Division</w:t>
      </w:r>
      <w:r w:rsidRPr="006876FA">
        <w:t>.</w:t>
      </w:r>
    </w:p>
    <w:p w14:paraId="5AD61430" w14:textId="62C95020" w:rsidR="001929F2" w:rsidRDefault="000F0750" w:rsidP="00962810">
      <w:pPr>
        <w:pStyle w:val="Heading2"/>
      </w:pPr>
      <w:r>
        <w:t>Recovery of u</w:t>
      </w:r>
      <w:r w:rsidR="00EF152F" w:rsidRPr="006876FA">
        <w:t>n</w:t>
      </w:r>
      <w:r w:rsidR="00EF152F">
        <w:t>u</w:t>
      </w:r>
      <w:r w:rsidR="00EF152F" w:rsidRPr="006876FA">
        <w:t xml:space="preserve">sed </w:t>
      </w:r>
      <w:r w:rsidR="00EF152F">
        <w:t xml:space="preserve">licensed water </w:t>
      </w:r>
      <w:r w:rsidR="00EF152F" w:rsidRPr="001929F2">
        <w:t>entitlements</w:t>
      </w:r>
    </w:p>
    <w:p w14:paraId="71E7334F" w14:textId="699F7896" w:rsidR="00EF152F" w:rsidRDefault="00EF152F" w:rsidP="00F456C0">
      <w:r w:rsidRPr="006876FA">
        <w:t xml:space="preserve">Licensed </w:t>
      </w:r>
      <w:r>
        <w:t xml:space="preserve">water </w:t>
      </w:r>
      <w:r w:rsidRPr="006876FA">
        <w:t xml:space="preserve">entitlements are </w:t>
      </w:r>
      <w:r>
        <w:t xml:space="preserve">a finite resource </w:t>
      </w:r>
      <w:r w:rsidRPr="006876FA">
        <w:t xml:space="preserve">granted to </w:t>
      </w:r>
      <w:r>
        <w:t xml:space="preserve">licence holders to promote </w:t>
      </w:r>
      <w:r w:rsidRPr="006876FA">
        <w:t xml:space="preserve">the </w:t>
      </w:r>
      <w:r>
        <w:t xml:space="preserve">sustainable </w:t>
      </w:r>
      <w:r w:rsidRPr="006876FA">
        <w:t>economic development of the Territory</w:t>
      </w:r>
      <w:r>
        <w:t xml:space="preserve"> for the benefit all Territorians</w:t>
      </w:r>
      <w:r w:rsidRPr="006876FA">
        <w:t xml:space="preserve">. </w:t>
      </w:r>
      <w:r w:rsidR="009013A0">
        <w:t>Holding</w:t>
      </w:r>
      <w:r w:rsidRPr="006876FA">
        <w:t xml:space="preserve"> un</w:t>
      </w:r>
      <w:r w:rsidR="000A66CF">
        <w:t>u</w:t>
      </w:r>
      <w:r w:rsidRPr="006876FA">
        <w:t>s</w:t>
      </w:r>
      <w:r w:rsidR="000A66CF">
        <w:t xml:space="preserve">ed licensed </w:t>
      </w:r>
      <w:r w:rsidRPr="006876FA">
        <w:t xml:space="preserve">water entitlements </w:t>
      </w:r>
      <w:r w:rsidR="009013A0">
        <w:t xml:space="preserve">in a consistent way </w:t>
      </w:r>
      <w:r w:rsidRPr="006876FA">
        <w:t xml:space="preserve">is </w:t>
      </w:r>
      <w:r w:rsidR="009013A0">
        <w:t>contrary</w:t>
      </w:r>
      <w:r w:rsidR="000A66CF">
        <w:t xml:space="preserve"> </w:t>
      </w:r>
      <w:r w:rsidR="009013A0">
        <w:t xml:space="preserve">this objective and </w:t>
      </w:r>
      <w:r w:rsidR="000A66CF">
        <w:t>the good management and administration of the water resources</w:t>
      </w:r>
      <w:r w:rsidRPr="006876FA">
        <w:t xml:space="preserve">. </w:t>
      </w:r>
      <w:r w:rsidR="000A66CF">
        <w:t xml:space="preserve">Accordingly, administration of the </w:t>
      </w:r>
      <w:r w:rsidR="000A66CF" w:rsidRPr="00A66B13">
        <w:t xml:space="preserve">Recovery of Unused Licensed Water Entitlements </w:t>
      </w:r>
      <w:r w:rsidR="00A66B13">
        <w:t>policy</w:t>
      </w:r>
      <w:r w:rsidR="00A66B13">
        <w:rPr>
          <w:rStyle w:val="FootnoteReference"/>
        </w:rPr>
        <w:footnoteReference w:id="1"/>
      </w:r>
      <w:r w:rsidR="00A66B13">
        <w:t xml:space="preserve"> </w:t>
      </w:r>
      <w:r w:rsidR="000A66CF">
        <w:t>is a priority compliance and enforcement activity.</w:t>
      </w:r>
    </w:p>
    <w:p w14:paraId="0E7D59F6" w14:textId="4987B11F" w:rsidR="000F0750" w:rsidRPr="006876FA" w:rsidRDefault="00E54D1E" w:rsidP="00F456C0">
      <w:r>
        <w:t>When and where</w:t>
      </w:r>
      <w:r w:rsidR="000F0750">
        <w:t xml:space="preserve"> this effort will be underta</w:t>
      </w:r>
      <w:r>
        <w:t>ken, in terms of which licences/</w:t>
      </w:r>
      <w:r w:rsidR="000F0750">
        <w:t>areas, will not be made public.</w:t>
      </w:r>
    </w:p>
    <w:p w14:paraId="4DA84BC5" w14:textId="77777777" w:rsidR="00EF152F" w:rsidRPr="006876FA" w:rsidRDefault="00EF152F" w:rsidP="00962810">
      <w:pPr>
        <w:pStyle w:val="Heading2"/>
      </w:pPr>
      <w:r>
        <w:t xml:space="preserve">Submission of </w:t>
      </w:r>
      <w:r w:rsidR="000A66CF">
        <w:t xml:space="preserve">the </w:t>
      </w:r>
      <w:r>
        <w:t>Statement of Bore for new b</w:t>
      </w:r>
      <w:r w:rsidRPr="006876FA">
        <w:t>ores</w:t>
      </w:r>
    </w:p>
    <w:p w14:paraId="4C6F97F6" w14:textId="3B3C1338" w:rsidR="00EF152F" w:rsidRPr="006876FA" w:rsidRDefault="000A66CF" w:rsidP="00F456C0">
      <w:r>
        <w:t>Bores are required to be drilled in accordance with the</w:t>
      </w:r>
      <w:r w:rsidR="00F456C0">
        <w:t xml:space="preserve"> current version of the</w:t>
      </w:r>
      <w:r>
        <w:t xml:space="preserve"> Minimum Construction Requirements for Water Bores in Australia</w:t>
      </w:r>
      <w:r w:rsidR="00EF152F" w:rsidRPr="006876FA">
        <w:t xml:space="preserve">. </w:t>
      </w:r>
      <w:r>
        <w:t xml:space="preserve">The requirements are set to </w:t>
      </w:r>
      <w:r w:rsidR="00EF152F" w:rsidRPr="006876FA">
        <w:t>prot</w:t>
      </w:r>
      <w:r>
        <w:t>ect the integrity of the ground</w:t>
      </w:r>
      <w:r w:rsidR="00EF152F" w:rsidRPr="006876FA">
        <w:t>water resource</w:t>
      </w:r>
      <w:r>
        <w:t>s</w:t>
      </w:r>
      <w:r w:rsidR="00EF152F" w:rsidRPr="006876FA">
        <w:t xml:space="preserve">. To ensure new bores have met the requirements, a Statement of Bore </w:t>
      </w:r>
      <w:r>
        <w:t>must</w:t>
      </w:r>
      <w:r w:rsidR="00EF152F" w:rsidRPr="006876FA">
        <w:t xml:space="preserve"> be submitted to the </w:t>
      </w:r>
      <w:r>
        <w:t>Water Resources Division</w:t>
      </w:r>
      <w:r w:rsidR="009013A0">
        <w:t xml:space="preserve"> within 28 </w:t>
      </w:r>
      <w:r w:rsidR="00EF152F" w:rsidRPr="006876FA">
        <w:t>days</w:t>
      </w:r>
      <w:r>
        <w:t xml:space="preserve"> of the bore being drilled</w:t>
      </w:r>
      <w:r w:rsidR="00F456C0">
        <w:t>.</w:t>
      </w:r>
      <w:r w:rsidR="009013A0">
        <w:t xml:space="preserve"> </w:t>
      </w:r>
      <w:r>
        <w:t xml:space="preserve">Therefore, ensuring </w:t>
      </w:r>
      <w:r w:rsidR="00EF152F" w:rsidRPr="006876FA">
        <w:t>Statement</w:t>
      </w:r>
      <w:r>
        <w:t>s</w:t>
      </w:r>
      <w:r w:rsidR="00EF152F" w:rsidRPr="006876FA">
        <w:t xml:space="preserve"> of Bore</w:t>
      </w:r>
      <w:r>
        <w:t xml:space="preserve"> are submitted</w:t>
      </w:r>
      <w:r w:rsidR="00EF152F" w:rsidRPr="006876FA">
        <w:t xml:space="preserve"> </w:t>
      </w:r>
      <w:r>
        <w:t xml:space="preserve">on </w:t>
      </w:r>
      <w:r w:rsidR="00EF152F" w:rsidRPr="006876FA">
        <w:t xml:space="preserve">time is </w:t>
      </w:r>
      <w:r>
        <w:t xml:space="preserve">a </w:t>
      </w:r>
      <w:r w:rsidR="00EF152F" w:rsidRPr="006876FA">
        <w:t>priority</w:t>
      </w:r>
      <w:r>
        <w:t xml:space="preserve"> for the Water Resources Division</w:t>
      </w:r>
      <w:r w:rsidR="00EF152F" w:rsidRPr="006876FA">
        <w:t>.</w:t>
      </w:r>
    </w:p>
    <w:p w14:paraId="3B92BDDE" w14:textId="77777777" w:rsidR="00A66B13" w:rsidRDefault="00EF152F" w:rsidP="00126B8F">
      <w:pPr>
        <w:pStyle w:val="Heading1"/>
        <w:rPr>
          <w:lang w:eastAsia="en-AU"/>
        </w:rPr>
      </w:pPr>
      <w:r w:rsidRPr="00962810">
        <w:t>Enduring</w:t>
      </w:r>
      <w:r>
        <w:t xml:space="preserve"> p</w:t>
      </w:r>
      <w:bookmarkStart w:id="0" w:name="_GoBack"/>
      <w:bookmarkEnd w:id="0"/>
      <w:r>
        <w:t>riorities</w:t>
      </w:r>
    </w:p>
    <w:p w14:paraId="6D5B21EE" w14:textId="749115D6" w:rsidR="00B14257" w:rsidRDefault="00EF152F" w:rsidP="009013A0">
      <w:r>
        <w:t xml:space="preserve">There are some forms of conduct so detrimental to the protection, management and administration of water resources that </w:t>
      </w:r>
      <w:r w:rsidR="009013A0">
        <w:t>they</w:t>
      </w:r>
      <w:r>
        <w:t xml:space="preserve"> will always </w:t>
      </w:r>
      <w:r w:rsidR="009013A0">
        <w:t>be a high</w:t>
      </w:r>
      <w:r>
        <w:t xml:space="preserve"> priority.</w:t>
      </w:r>
    </w:p>
    <w:p w14:paraId="5C31A244" w14:textId="77777777" w:rsidR="00EF152F" w:rsidRPr="006876FA" w:rsidRDefault="00EF152F" w:rsidP="00962810">
      <w:pPr>
        <w:pStyle w:val="Heading2"/>
      </w:pPr>
      <w:r>
        <w:t>U</w:t>
      </w:r>
      <w:r w:rsidRPr="006876FA">
        <w:t>nlawful water extraction</w:t>
      </w:r>
    </w:p>
    <w:p w14:paraId="772AFFD0" w14:textId="29B5F4A1" w:rsidR="00EF152F" w:rsidRPr="006876FA" w:rsidRDefault="000A66CF" w:rsidP="001929F2">
      <w:pPr>
        <w:pStyle w:val="BodyText"/>
      </w:pPr>
      <w:r>
        <w:t>I</w:t>
      </w:r>
      <w:r w:rsidR="00EF152F" w:rsidRPr="006876FA">
        <w:t xml:space="preserve">ndividuals and organisations who </w:t>
      </w:r>
      <w:r>
        <w:t xml:space="preserve">unlawfully </w:t>
      </w:r>
      <w:r w:rsidR="00EF152F" w:rsidRPr="006876FA">
        <w:t xml:space="preserve">extract water in contravention of the Act </w:t>
      </w:r>
      <w:r w:rsidR="00527C82">
        <w:t>detrimentally affect</w:t>
      </w:r>
      <w:r w:rsidR="00EF152F" w:rsidRPr="006876FA">
        <w:t xml:space="preserve"> the rights of existing licence holders; the sustainability of water resources; availability of water</w:t>
      </w:r>
      <w:r>
        <w:t xml:space="preserve"> for other users</w:t>
      </w:r>
      <w:r w:rsidR="00EF152F" w:rsidRPr="006876FA">
        <w:t>; and the ability to manage impacts to the environment.</w:t>
      </w:r>
    </w:p>
    <w:p w14:paraId="47A4CB18" w14:textId="6B3258BE" w:rsidR="00EF152F" w:rsidRPr="006876FA" w:rsidRDefault="00EF152F" w:rsidP="00962810">
      <w:pPr>
        <w:pStyle w:val="Heading2"/>
      </w:pPr>
      <w:r>
        <w:t>O</w:t>
      </w:r>
      <w:r w:rsidRPr="006876FA">
        <w:t xml:space="preserve">ver extraction of licensed </w:t>
      </w:r>
      <w:r w:rsidR="000A66CF">
        <w:t xml:space="preserve">water </w:t>
      </w:r>
      <w:r w:rsidRPr="006876FA">
        <w:t>entitlement</w:t>
      </w:r>
      <w:r w:rsidR="00426950">
        <w:t>s</w:t>
      </w:r>
    </w:p>
    <w:p w14:paraId="18102D5D" w14:textId="4FBC3670" w:rsidR="00EF152F" w:rsidRPr="00C62A34" w:rsidRDefault="00527C82" w:rsidP="00962810">
      <w:pPr>
        <w:pStyle w:val="BodyText"/>
        <w:spacing w:after="0"/>
      </w:pPr>
      <w:r>
        <w:t xml:space="preserve">Licensed water entitlements are granted based on a number of factors, including water availability, demonstration of need for the water and the environmental impact. </w:t>
      </w:r>
      <w:r w:rsidRPr="006876FA">
        <w:t xml:space="preserve">Over extraction of </w:t>
      </w:r>
      <w:r>
        <w:t>licensed water entitlements presents similar risks as unlawful water extraction; undermines the licensing framework and is unfair to licence holders who invest in the proper management of their water use.</w:t>
      </w:r>
    </w:p>
    <w:sectPr w:rsidR="00EF152F" w:rsidRPr="00C62A34" w:rsidSect="009628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1560" w:left="794" w:header="794" w:footer="6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086E3" w14:textId="77777777" w:rsidR="001F74B7" w:rsidRDefault="001F74B7" w:rsidP="001929F2">
      <w:r>
        <w:separator/>
      </w:r>
    </w:p>
  </w:endnote>
  <w:endnote w:type="continuationSeparator" w:id="0">
    <w:p w14:paraId="2C518CBC" w14:textId="77777777" w:rsidR="001F74B7" w:rsidRDefault="001F74B7" w:rsidP="0019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2EFA328D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69975DA" w14:textId="77777777" w:rsidR="00D47DC7" w:rsidRDefault="00D47DC7" w:rsidP="00C83C61">
          <w:pPr>
            <w:spacing w:before="120"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F152F">
                <w:rPr>
                  <w:rStyle w:val="PageNumber"/>
                  <w:b/>
                </w:rPr>
                <w:t>ENVIRONMENT AND NATURAL RESOURCES</w:t>
              </w:r>
            </w:sdtContent>
          </w:sdt>
        </w:p>
        <w:p w14:paraId="384AF733" w14:textId="009D5073" w:rsidR="00CA36A0" w:rsidRPr="00AC4488" w:rsidRDefault="00D47DC7" w:rsidP="001929F2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6281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6281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F720897" w14:textId="77777777" w:rsidR="00CA36A0" w:rsidRPr="00C83C61" w:rsidRDefault="00CA36A0" w:rsidP="001929F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7EEC2012" w14:textId="77777777" w:rsidTr="00385025">
      <w:trPr>
        <w:cantSplit/>
      </w:trPr>
      <w:tc>
        <w:tcPr>
          <w:tcW w:w="7767" w:type="dxa"/>
          <w:vAlign w:val="bottom"/>
        </w:tcPr>
        <w:p w14:paraId="7A9B4BFB" w14:textId="77777777" w:rsidR="00D47DC7" w:rsidRDefault="00D47DC7" w:rsidP="00385025">
          <w:pPr>
            <w:spacing w:before="240"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F152F">
                <w:rPr>
                  <w:rStyle w:val="PageNumber"/>
                  <w:b/>
                </w:rPr>
                <w:t>ENVIRONMENT AND NATURAL RESOURCES</w:t>
              </w:r>
            </w:sdtContent>
          </w:sdt>
        </w:p>
        <w:p w14:paraId="32BEE2D5" w14:textId="2153D423" w:rsidR="0071700C" w:rsidRPr="00CE30CF" w:rsidRDefault="00D47DC7" w:rsidP="0038502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26B8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26B8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010C897" w14:textId="4B8B1CCE" w:rsidR="0071700C" w:rsidRPr="001E14EB" w:rsidRDefault="00A66B13" w:rsidP="00962810">
          <w:pPr>
            <w:spacing w:after="0"/>
          </w:pPr>
          <w:r>
            <w:rPr>
              <w:noProof/>
              <w:lang w:eastAsia="en-AU"/>
            </w:rPr>
            <w:drawing>
              <wp:inline distT="0" distB="0" distL="0" distR="0" wp14:anchorId="3746E3D9" wp14:editId="73E44CF9">
                <wp:extent cx="1572895" cy="561340"/>
                <wp:effectExtent l="0" t="0" r="8255" b="0"/>
                <wp:docPr id="12" name="Picture 1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700C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3973CDD" w14:textId="2FC8F5D1" w:rsidR="0089368E" w:rsidRPr="00661BE1" w:rsidRDefault="0089368E" w:rsidP="001929F2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2AB01" w14:textId="77777777" w:rsidR="001F74B7" w:rsidRDefault="001F74B7" w:rsidP="00962810">
      <w:pPr>
        <w:spacing w:after="120"/>
      </w:pPr>
      <w:r>
        <w:separator/>
      </w:r>
    </w:p>
  </w:footnote>
  <w:footnote w:type="continuationSeparator" w:id="0">
    <w:p w14:paraId="3BA21EFA" w14:textId="77777777" w:rsidR="001F74B7" w:rsidRDefault="001F74B7" w:rsidP="001929F2">
      <w:r>
        <w:continuationSeparator/>
      </w:r>
    </w:p>
  </w:footnote>
  <w:footnote w:id="1">
    <w:p w14:paraId="25E1F89F" w14:textId="38452FC2" w:rsidR="00A66B13" w:rsidRDefault="00A66B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798B">
        <w:t>https://denr.nt.gov.au/water/policy/water-licensing-policies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5C67" w14:textId="0CB689BC" w:rsidR="00983000" w:rsidRPr="00162207" w:rsidRDefault="001F74B7" w:rsidP="001929F2">
    <w:pPr>
      <w:pStyle w:val="Header"/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2810">
          <w:t>Compliance and enforcement priorities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52"/>
        <w:szCs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423B47FC" w14:textId="36F00E5C" w:rsidR="00E54F9E" w:rsidRDefault="00962810" w:rsidP="001929F2">
        <w:pPr>
          <w:pStyle w:val="Title"/>
          <w:rPr>
            <w:rStyle w:val="TitleChar"/>
          </w:rPr>
        </w:pPr>
        <w:r>
          <w:rPr>
            <w:sz w:val="52"/>
            <w:szCs w:val="52"/>
          </w:rPr>
          <w:t>Compliance and e</w:t>
        </w:r>
        <w:r w:rsidR="00385025" w:rsidRPr="00A66B13">
          <w:rPr>
            <w:sz w:val="52"/>
            <w:szCs w:val="52"/>
          </w:rPr>
          <w:t xml:space="preserve">nforcement </w:t>
        </w:r>
        <w:r>
          <w:rPr>
            <w:sz w:val="52"/>
            <w:szCs w:val="52"/>
          </w:rPr>
          <w:t>p</w:t>
        </w:r>
        <w:r w:rsidR="00385025" w:rsidRPr="00A66B13">
          <w:rPr>
            <w:sz w:val="52"/>
            <w:szCs w:val="52"/>
          </w:rPr>
          <w:t>riorities 2020</w:t>
        </w:r>
      </w:p>
    </w:sdtContent>
  </w:sdt>
  <w:p w14:paraId="774567DC" w14:textId="49819175" w:rsidR="00EF152F" w:rsidRPr="00962810" w:rsidRDefault="00385025" w:rsidP="00962810">
    <w:pPr>
      <w:pStyle w:val="Subtitle0"/>
      <w:rPr>
        <w:sz w:val="36"/>
      </w:rPr>
    </w:pPr>
    <w:r w:rsidRPr="00962810">
      <w:rPr>
        <w:sz w:val="36"/>
      </w:rPr>
      <w:t>Water Resources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D6B1EED"/>
    <w:multiLevelType w:val="hybridMultilevel"/>
    <w:tmpl w:val="88906D1C"/>
    <w:lvl w:ilvl="0" w:tplc="37947128">
      <w:start w:val="1"/>
      <w:numFmt w:val="decimal"/>
      <w:pStyle w:val="Listparagraphlevel0"/>
      <w:lvlText w:val="%1."/>
      <w:lvlJc w:val="left"/>
      <w:pPr>
        <w:ind w:left="6031" w:hanging="360"/>
      </w:pPr>
    </w:lvl>
    <w:lvl w:ilvl="1" w:tplc="04090019" w:tentative="1">
      <w:start w:val="1"/>
      <w:numFmt w:val="lowerLetter"/>
      <w:lvlText w:val="%2."/>
      <w:lvlJc w:val="left"/>
      <w:pPr>
        <w:ind w:left="6751" w:hanging="360"/>
      </w:pPr>
    </w:lvl>
    <w:lvl w:ilvl="2" w:tplc="0409001B" w:tentative="1">
      <w:start w:val="1"/>
      <w:numFmt w:val="lowerRoman"/>
      <w:lvlText w:val="%3."/>
      <w:lvlJc w:val="right"/>
      <w:pPr>
        <w:ind w:left="7471" w:hanging="180"/>
      </w:pPr>
    </w:lvl>
    <w:lvl w:ilvl="3" w:tplc="0409000F" w:tentative="1">
      <w:start w:val="1"/>
      <w:numFmt w:val="decimal"/>
      <w:lvlText w:val="%4."/>
      <w:lvlJc w:val="left"/>
      <w:pPr>
        <w:ind w:left="8191" w:hanging="360"/>
      </w:pPr>
    </w:lvl>
    <w:lvl w:ilvl="4" w:tplc="04090019" w:tentative="1">
      <w:start w:val="1"/>
      <w:numFmt w:val="lowerLetter"/>
      <w:lvlText w:val="%5."/>
      <w:lvlJc w:val="left"/>
      <w:pPr>
        <w:ind w:left="8911" w:hanging="360"/>
      </w:pPr>
    </w:lvl>
    <w:lvl w:ilvl="5" w:tplc="0409001B" w:tentative="1">
      <w:start w:val="1"/>
      <w:numFmt w:val="lowerRoman"/>
      <w:lvlText w:val="%6."/>
      <w:lvlJc w:val="right"/>
      <w:pPr>
        <w:ind w:left="9631" w:hanging="180"/>
      </w:pPr>
    </w:lvl>
    <w:lvl w:ilvl="6" w:tplc="0409000F" w:tentative="1">
      <w:start w:val="1"/>
      <w:numFmt w:val="decimal"/>
      <w:lvlText w:val="%7."/>
      <w:lvlJc w:val="left"/>
      <w:pPr>
        <w:ind w:left="10351" w:hanging="360"/>
      </w:pPr>
    </w:lvl>
    <w:lvl w:ilvl="7" w:tplc="04090019" w:tentative="1">
      <w:start w:val="1"/>
      <w:numFmt w:val="lowerLetter"/>
      <w:lvlText w:val="%8."/>
      <w:lvlJc w:val="left"/>
      <w:pPr>
        <w:ind w:left="11071" w:hanging="360"/>
      </w:pPr>
    </w:lvl>
    <w:lvl w:ilvl="8" w:tplc="040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6005A66"/>
    <w:multiLevelType w:val="hybridMultilevel"/>
    <w:tmpl w:val="5EC05AC0"/>
    <w:lvl w:ilvl="0" w:tplc="D812AC8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5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16"/>
  </w:num>
  <w:num w:numId="1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F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66CF"/>
    <w:rsid w:val="000B2CA1"/>
    <w:rsid w:val="000D1F29"/>
    <w:rsid w:val="000D633D"/>
    <w:rsid w:val="000E342B"/>
    <w:rsid w:val="000E3ED2"/>
    <w:rsid w:val="000E5DD2"/>
    <w:rsid w:val="000F02A6"/>
    <w:rsid w:val="000F0750"/>
    <w:rsid w:val="000F2958"/>
    <w:rsid w:val="000F3850"/>
    <w:rsid w:val="000F604F"/>
    <w:rsid w:val="00104E7F"/>
    <w:rsid w:val="001137EC"/>
    <w:rsid w:val="001152F5"/>
    <w:rsid w:val="00117743"/>
    <w:rsid w:val="00117F5B"/>
    <w:rsid w:val="00126B8F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29F2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1F74B7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85025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950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00D8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C82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27E5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5F4B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13A0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2810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66B13"/>
    <w:rsid w:val="00A70DD8"/>
    <w:rsid w:val="00A76790"/>
    <w:rsid w:val="00A85D0C"/>
    <w:rsid w:val="00A925EC"/>
    <w:rsid w:val="00A929AA"/>
    <w:rsid w:val="00A92B6B"/>
    <w:rsid w:val="00AA541E"/>
    <w:rsid w:val="00AC5186"/>
    <w:rsid w:val="00AD0DA4"/>
    <w:rsid w:val="00AD4169"/>
    <w:rsid w:val="00AE210F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3C6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2C34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749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D1E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152F"/>
    <w:rsid w:val="00EF3CA4"/>
    <w:rsid w:val="00EF49A8"/>
    <w:rsid w:val="00EF7859"/>
    <w:rsid w:val="00F014DA"/>
    <w:rsid w:val="00F02591"/>
    <w:rsid w:val="00F30AE1"/>
    <w:rsid w:val="00F456C0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5929C"/>
  <w15:docId w15:val="{51C20BD1-0178-42B2-AE6A-5149883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F2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962810"/>
    <w:pPr>
      <w:keepNext/>
      <w:keepLines/>
      <w:spacing w:before="200" w:after="120"/>
      <w:outlineLvl w:val="0"/>
    </w:pPr>
    <w:rPr>
      <w:rFonts w:ascii="Lato Semibold" w:eastAsia="Times New Roman" w:hAnsi="Lato Semibold"/>
      <w:color w:val="1F1F5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62810"/>
    <w:pPr>
      <w:keepNext/>
      <w:keepLines/>
      <w:numPr>
        <w:numId w:val="10"/>
      </w:numPr>
      <w:spacing w:before="200" w:after="120"/>
      <w:ind w:left="425" w:hanging="425"/>
      <w:outlineLvl w:val="1"/>
    </w:pPr>
    <w:rPr>
      <w:rFonts w:ascii="Lato Semibold" w:eastAsia="Times New Roman" w:hAnsi="Lato Semibold"/>
      <w:color w:val="45434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Listparagraphlevel0"/>
    <w:next w:val="Normal"/>
    <w:link w:val="Heading4Char"/>
    <w:uiPriority w:val="2"/>
    <w:qFormat/>
    <w:rsid w:val="00AC5186"/>
    <w:pPr>
      <w:keepNext/>
      <w:keepLines/>
      <w:tabs>
        <w:tab w:val="clear" w:pos="567"/>
      </w:tabs>
      <w:ind w:left="426" w:hanging="426"/>
      <w:outlineLvl w:val="3"/>
    </w:pPr>
    <w:rPr>
      <w:rFonts w:ascii="Lato Semibold" w:hAnsi="Lato Semibold"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962810"/>
    <w:rPr>
      <w:rFonts w:ascii="Lato Semibold" w:eastAsia="Times New Roman" w:hAnsi="Lato Semibold"/>
      <w:color w:val="1F1F5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62810"/>
    <w:rPr>
      <w:rFonts w:ascii="Lato Semibold" w:eastAsia="Times New Roman" w:hAnsi="Lato Semibold"/>
      <w:color w:val="454347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C5186"/>
    <w:rPr>
      <w:rFonts w:ascii="Lato Semibold" w:hAnsi="Lato Semibold"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C83C61"/>
    <w:rPr>
      <w:rFonts w:ascii="Lato" w:hAnsi="Lato"/>
      <w:sz w:val="20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52F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2F"/>
    <w:rPr>
      <w:rFonts w:ascii="Lato" w:hAnsi="Lato"/>
      <w:b/>
      <w:bCs/>
      <w:sz w:val="20"/>
      <w:szCs w:val="20"/>
    </w:rPr>
  </w:style>
  <w:style w:type="paragraph" w:customStyle="1" w:styleId="Listparagraphlevel0">
    <w:name w:val="List paragraph level 0"/>
    <w:basedOn w:val="BodyText"/>
    <w:qFormat/>
    <w:rsid w:val="001929F2"/>
    <w:pPr>
      <w:numPr>
        <w:numId w:val="9"/>
      </w:numPr>
      <w:tabs>
        <w:tab w:val="left" w:pos="567"/>
      </w:tabs>
      <w:ind w:left="567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6B1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B13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6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enn\AppData\Local\Microsoft\Windows\INetCache\IE\POHY98EN\ntg-short-portrait-template_0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DE3973-BB1E-4182-A628-E3FC128E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ntg-short-portrait-template_0.dotx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and enforcement priorities 2020</vt:lpstr>
    </vt:vector>
  </TitlesOfParts>
  <Company>ENVIRONMENT AND NATURAL RESOURCES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and enforcement priorities 2020</dc:title>
  <dc:creator>Northern Territory Government</dc:creator>
  <cp:lastModifiedBy>Christine Long</cp:lastModifiedBy>
  <cp:revision>2</cp:revision>
  <cp:lastPrinted>2019-07-29T01:45:00Z</cp:lastPrinted>
  <dcterms:created xsi:type="dcterms:W3CDTF">2020-09-02T00:03:00Z</dcterms:created>
  <dcterms:modified xsi:type="dcterms:W3CDTF">2020-09-02T00:03:00Z</dcterms:modified>
</cp:coreProperties>
</file>